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9"/>
        <w:jc w:val="right"/>
        <w:spacing w:before="0" w:beforeAutospacing="0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/>
      <w:bookmarkStart w:id="0" w:name="dfas1ltshe"/>
      <w:r/>
      <w:bookmarkEnd w:id="0"/>
      <w:r>
        <w:rPr>
          <w:sz w:val="28"/>
          <w:szCs w:val="28"/>
        </w:rPr>
        <w:t xml:space="preserve">Приложение</w:t>
      </w:r>
      <w:r>
        <w:rPr>
          <w:sz w:val="28"/>
          <w:szCs w:val="28"/>
        </w:rPr>
        <w:t xml:space="preserve"> № 7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9"/>
        <w:jc w:val="right"/>
        <w:spacing w:before="0" w:beforeAutospacing="0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 приказу от </w:t>
      </w:r>
      <w:r>
        <w:rPr>
          <w:sz w:val="28"/>
          <w:szCs w:val="28"/>
        </w:rPr>
        <w:t xml:space="preserve">25.12.2025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 </w:t>
      </w:r>
      <w:r>
        <w:rPr>
          <w:sz w:val="28"/>
          <w:szCs w:val="28"/>
        </w:rPr>
        <w:t xml:space="preserve">211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9"/>
        <w:jc w:val="center"/>
        <w:spacing w:before="0" w:beforeAutospacing="0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/>
      <w:bookmarkStart w:id="1" w:name="dfasyqyqpo"/>
      <w:r/>
      <w:bookmarkEnd w:id="1"/>
      <w:r>
        <w:rPr>
          <w:sz w:val="28"/>
          <w:szCs w:val="28"/>
        </w:rPr>
        <w:t xml:space="preserve"> 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9"/>
        <w:jc w:val="center"/>
        <w:spacing w:before="0" w:beforeAutospacing="0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highlight w:val="none"/>
        </w:rPr>
      </w:pPr>
      <w:r/>
      <w:bookmarkStart w:id="2" w:name="dfas72vvza"/>
      <w:r/>
      <w:bookmarkEnd w:id="2"/>
      <w:r>
        <w:rPr>
          <w:b/>
          <w:bCs/>
          <w:sz w:val="28"/>
          <w:szCs w:val="28"/>
        </w:rPr>
        <w:t xml:space="preserve">Положение о внутреннем финансовом контроле</w:t>
      </w:r>
      <w:r>
        <w:rPr>
          <w:b/>
          <w:bCs/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00"/>
        <w:ind w:left="0" w:right="0" w:firstLine="0"/>
        <w:jc w:val="center"/>
        <w:spacing w:before="375" w:after="150" w:line="74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1. Общие положения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1.1. Настоящее положение разработано в соответствии с законодательством России (включая внутриведомственные нормативно-правовые акты) и Уставом учреждения. Положение устанавливает единые цели, правила и принципы проведения внутреннего финансового контроля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учреждения.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1.2. Внутренний финансовый контроль направлен на: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1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создание системы соблюдения законодательства России в сфере финансовой деятельности;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1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повышение качества составления и достоверности бюджетной отчетности и ведения бюджетного учета;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1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повышение результативности и недопущение нецелевого использования бюджетных средств.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1.3. Внутренний контроль в учреждении осуществляют: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2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созданная приказом руководителя комиссия;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2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руководители всех уровней, сотрудники учреждения;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2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сторонние организации, привлекаемые для целей проверки финансово-хозяйственной деятельности учреждения.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1.4. Целями внутреннего финансового контроля учреждения являются: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подтверждение достоверности бюджетного учета и отчетности учреждения и соответствия порядка ведения учета методологии и стандартам бюджетного учета, установленным Минфином России;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соблюдение другого действующего законодательства России, регулирующего порядок осуществления финансово-хозяйственной деятельности;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подготовка предложений по повышению экономности и результативности использования средств федерального бюджета.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1.5. Основные задачи внутреннего контроля: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4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установление соответствия проводимых финансовых операций в части финансово- хозяйственной деятельности и их отражение в бюджетном учете и отчетности требованиям законодательства; установление соответствия осуществляемых операций регламентам, полномочиям со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трудников;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4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минимизация рисков возникновения просроченной, сомнительной и безнадежной к взысканию задолженности;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4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соблюдение установленных технологических процессов и операций при осуществлении деятельности;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4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анализ системы внутреннего контроля учреждения, позволяющий выявить существенные аспекты, влияющие на ее эффективность.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1.6. Принципы внутреннего финансового контроля учреждения: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принцип законности. Неуклонное и точное соблюдение всеми субъектами внутреннего контроля норм и правил, установленных законодательством России;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принцип объективности. Внутренний контроль осуществляется с использованием фактических документальных данных в порядке, установленном законодательством России, путем применения методов, обеспечивающих получение полной и достоверной информации;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принцип независимости. Субъекты внутреннего контроля при выполнении своих функциональных обязанностей независимы от объектов внутреннего контроля;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принцип системности. Проведение контрольных мероприятий всех сторон деятельности объекта внутреннего контроля и его взаимосвязей в структуре управления;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принцип ответственности. Каждый субъект внутреннего контроля за ненадлежащее выполнение контрольных функций несет ответственность в соответствии с законодательством России.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00"/>
        <w:ind w:left="0" w:right="0" w:firstLine="0"/>
        <w:jc w:val="both"/>
        <w:spacing w:before="375" w:after="150" w:line="74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2. Организация системы внутреннего контроля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2.1. Система внутреннего контроля обеспечивает: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6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точность и полноту документации бюджетного учета;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6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соблюдение требований законодательства;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6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своевременность подготовки достоверной бюджетной отчетности;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6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предотвращение ошибок и искажений;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6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исполнение приказов и распоряжений руководителя учреждения;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6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сохранность имущества учреждения.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2.2. Система внутреннего контроля позволяет следить за эффективностью работы структурных подразделений, отделов, добросовестностью выполнения сотрудниками возложенных на них должностных обязанностей.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2.3. В рамках внутреннего контроля проверяется правильность отражения совершаемых фактов хозяйственной жизни в соответствии с действующим законодательством России и иными нормативными актами учреждения.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2.4. При выполнении контрольных действий отдельно или совместно используются следующие методы: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– самоконтроль;</w:t>
        <w:br/>
        <w:t xml:space="preserve">– контроль по уровню подчиненности (подведомственности);</w:t>
        <w:br/>
        <w:t xml:space="preserve">– смежный контроль.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2.5. Контрольные действия подразделяются на: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– визуальные – осуществляются без использования прикладных программных средств автоматизации;</w:t>
        <w:br/>
        <w:t xml:space="preserve">– автоматические – осуществляются с использованием прикладных программных средств автоматизации без участия должностных лиц;</w:t>
        <w:br/>
        <w:t xml:space="preserve">– смешанные – выполняются с использов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анием прикладных программных средств автоматизации с участием должностных лиц.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2.6. Способы проведения контрольных действий: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– сплошной способ – контрольные действия осуществляются в отношении каждой проведенной операции: действия по формированию документа, необходимого для выполнения внутренней бюджетной процедуры;</w:t>
        <w:br/>
        <w:t xml:space="preserve">– выборочный способ – контрольные действия осуществляются в отн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ошении отдельной проведенной операции: действия по формированию документа, необходимого для выполнения внутренней бюджетной процедуры.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2.7. При проведении внутреннего контроля проводится: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проверка документального оформления:</w:t>
        <w:br/>
        <w:t xml:space="preserve">– записи в регистрах бюджетного учета проводятся на основе первичных учетных документов (в том числе бухгалтерских справок);</w:t>
        <w:br/>
        <w:t xml:space="preserve">– включение в бюджетную (финансовую) отчетность существенных оценочных значений;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подтверждение соответствия между объектами (документами) и их соответствия установленным требованиям;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соотнесение оплаты материальных активов с их поступлением в учреждение;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санкционирование сделок и операций;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сверка остатков (сальдо) по счетам бухгалтерского учета на соответствие признакам счетов – активный (А), пассивный (П), активно-пассивный (А-П);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сверка остатков (сальдо) по счетам бюджетного учета наличных денежных средств с остатками денежных средств по данным кассовой книги;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разграничение полномочий и ротация обязанностей;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процедуры контроля фактического наличия и состояния объектов (в том числе инвентаризация);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контроль правильности сделок, учетных операций;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связанные с компьютерной обработкой информации:</w:t>
        <w:br/>
        <w:t xml:space="preserve">– регламент доступа к компьютерным программам, информационным системам, данным и справочникам;</w:t>
        <w:br/>
        <w:t xml:space="preserve">– порядок восстановления данных;</w:t>
        <w:br/>
        <w:t xml:space="preserve">– обеспечение бесперебойного использования компьютерных программ (информационных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систем);</w:t>
        <w:br/>
        <w:t xml:space="preserve">– логическая и арифметическая проверка данных в ходе обработки информации о фактах хозяйственной жизни. Исключается внесение исправлений в компьютерные программы (информационные системы) без документального оформления.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00"/>
        <w:ind w:left="0" w:right="0" w:firstLine="0"/>
        <w:jc w:val="both"/>
        <w:spacing w:before="375" w:after="150" w:line="74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3. Организация внутреннего финансового контроля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 Внутренний финансовый контроль в учреждении подразделяется на предварительный, текущий и последующий.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3.1.1. Предварительный контроль осуществляется до начала совершения хозяйственной операции. Позволяет определить, насколько целесообразной и правомерной является операция.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Целью предварительного финансового контроля является предупреждение нарушений на стадии планирования расходов и заключения договоров.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Предварительный контроль осуществляют руководитель учреждения, его заместители, главный бухгалтер, экономист и специалист по закупкам.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3.1.2. 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ри проведении текущего внутреннего финансового контроля проводится: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проверка финансово-плановых документов (расчетов потребности в денежных средствах для ПФХД) главным бухгалтером (бухгалтером), экономистом, их визирование, согласование и урегулирование разногласий;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проверка законности и экономическо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й обоснованности, визирование проектов договоров (контрактов), визирование договоров и прочих документов, из которых вытекают денежные обязательства - заместителем директора по АХР, специалистом по закупкам, экономистом и главным бухгалтером (бухгалтером);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контроль за принятием обязательств учреждения в пределах ПФХД;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проверка проектов приказов руководителя учреждения, в части касаемой;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проверка документов до совершения хозяйственных операций в соответствии с графиком документооборота, проверка расчетов перед выплатами;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проверка бюджетной, финансовой, статистической, налоговой и другой отчетности до утверждения или подписания;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автоматическая проверка в бухгалтерской программе остатков на счетах, в том числе в виде сопоставления аналитики и оповещения о расхождениях в каждой ошибочной операции – главным бухгалтером (бухгалтером);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проверка наличия денежных средств в кассе, в том числе контроль за соблюдением правил осуществления кассовых операций, оформления кассовых документов, установленного лимита кассы, хранением наличных денежных средств;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проверка полноты оприходования полученных в банке наличных денежных средств;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проверка расходных денежных документов до их оплаты (расчетно-платежных ведомостей, платежных поручений, счетов и т. п.). Фактом контроля является разрешение документов к оплате;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проверка первичных документов, отражающих факты хозяйственной жизни учреждения;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проверка у подотчетных лиц наличия полученных под отчет наличных денежных средств и (или) оправдательных документов;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контроль за взысканием дебиторской и погашением кредиторской задолженности;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сверка аналитического учета с синтетическим (оборотная ведомость);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проверка фактического наличия материальных средств;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мониторинг расходования средств субсидий, других целевых средств) по назначению, оценка эффективности и результативности их расходования;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анализ главным бухгалтером (бухгалтером) конкретных журналов операций, на соответствие методологии учета и положениям учетной политики учреждения;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Ведение текущего контроля осуществляется на постоянной основе специалистами бухгалтерии.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Проверку первичных учетных документов проводят сотрудники бухгалтерии, которые принимают документы к учету. В каждом документе проверяют: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9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соответствие формы документа и хозяйственной операции;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9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наличие обязательных реквизитов, если документ составлен не по унифицированной форме;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29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правильность заполнения и наличие подписей.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На документах, прошедших контроль, ответственные сотрудники ставят отметку «проверено», дату, подпись и расшифровку подписи.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 целях выявления непоступивших в срок первичных документов в бухгалтерской программе реализованы: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0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ведение электронного журнала входящих документов (скан/ЭЦП);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0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автоматический сопоставитель сроков документов и операций;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0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ежедневное формирование списков отсутствующих/поздних документов с уведомлением ответственных сотрудников.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iCs/>
          <w:color w:val="000000" w:themeColor="text1"/>
          <w:sz w:val="28"/>
          <w:szCs w:val="28"/>
        </w:rPr>
        <w:t xml:space="preserve">Для информирования главного бухгалтера о рисках, ошибках и опозданиях при представлении документов и информации в бухгалтерской программе настроены:</w:t>
      </w:r>
      <w:r>
        <w:rPr>
          <w:rFonts w:ascii="Times New Roman" w:hAnsi="Times New Roman" w:eastAsia="Times New Roman" w:cs="Times New Roman"/>
          <w:i/>
          <w:iCs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1"/>
        </w:numPr>
        <w:ind w:right="0"/>
        <w:jc w:val="both"/>
        <w:spacing w:before="0" w:after="0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iCs/>
          <w:color w:val="000000" w:themeColor="text1"/>
          <w:sz w:val="28"/>
          <w:szCs w:val="28"/>
        </w:rPr>
        <w:t xml:space="preserve">автоматические уведомления и дашборд с приоритетами (критично/средне/низко) для главного бухгалтера и ответственных сотрудников;</w:t>
      </w:r>
      <w:r>
        <w:rPr>
          <w:rFonts w:ascii="Times New Roman" w:hAnsi="Times New Roman" w:eastAsia="Times New Roman" w:cs="Times New Roman"/>
          <w:i/>
          <w:iCs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1"/>
        </w:numPr>
        <w:ind w:right="0"/>
        <w:jc w:val="both"/>
        <w:spacing w:before="0" w:after="0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iCs/>
          <w:color w:val="000000" w:themeColor="text1"/>
          <w:sz w:val="28"/>
          <w:szCs w:val="28"/>
        </w:rPr>
        <w:t xml:space="preserve">еженедельные машинные сводки и мгновенные алерты при критических нарушениях;</w:t>
      </w:r>
      <w:r>
        <w:rPr>
          <w:rFonts w:ascii="Times New Roman" w:hAnsi="Times New Roman" w:eastAsia="Times New Roman" w:cs="Times New Roman"/>
          <w:i/>
          <w:iCs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1"/>
        </w:numPr>
        <w:ind w:right="0"/>
        <w:jc w:val="both"/>
        <w:spacing w:before="0" w:after="0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/>
          <w:iCs/>
          <w:color w:val="000000" w:themeColor="text1"/>
          <w:sz w:val="28"/>
          <w:szCs w:val="28"/>
        </w:rPr>
        <w:t xml:space="preserve">SLA на ответ/исправление.</w:t>
      </w:r>
      <w:r>
        <w:rPr>
          <w:rFonts w:ascii="Times New Roman" w:hAnsi="Times New Roman" w:eastAsia="Times New Roman" w:cs="Times New Roman"/>
          <w:i/>
          <w:iCs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 случае, если ответственный сотрудник не передал в бухгалтерию первичный документ в срок, установленный в графике,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главный бухгалтер уведомляет об этом сотрудника, руководителя его подразделения, а также руководителя учреждения. Для этого каждому из них главный бухгалтер направляет письменное требование предоставить  документы не позднее одного рабочего дня со дня исте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чения срока представления документа по графику. Форма требования утверждена в приложении № 2 к учетной политике.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3.1.3. Последующий контроль проводится по итогам совершения хозяйственных операций. Осуществляется путем анализа и проверки бухгалтерской документации и отчетности, проведения инвентаризаций и иных необходимых процедур.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Целью последующего внутреннего финансового контроля является обнаружение фактов незаконного, нецелесообразного расходования денежных и материальных средств и вскрытие причин нарушений.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При последующем внутреннем контроле осуществляют следующие контрольные действия: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2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проверка наличия имущества учреждения, в том числе: инвентаризация, внезапная проверка кассы;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2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анализ исполнения плановых документов;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2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проверка поступления, наличия и использования денежных средств в учреждении;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2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проверка материально ответственных лиц, в том числе закупок за наличный расчет, проверка достоверности данных о закупках в торговых точках;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2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соблюдение установленных норм расхода материальных запасов;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2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документальные проверки финансово-хозяйственной деятельности учреждения и его обособленных структурных подразделений;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2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проверка достоверности отражения хозяйственных операций в учете и отчетности учреждения.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Последующий контроль осуществляется путем проведения плановых и внеплановых проверок.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Плановые проверки проводятся с периодичностью, установленной графиком проведения внутренних проверок финансово-хозяйственной деятельности. График включает: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объект проверки;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период, за который проводится проверка;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срок проведения проверки;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3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ответственных исполнителей.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Объектами плановой проверки являются: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4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соблюдение законодательства России, регулирующего порядок ведения бюджетного учета и норм учетной политики;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4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правильность и своевременность отражения всех хозяйственных операций в бюджетном учете;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4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полнота и правильность документального оформления операций;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4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своевременность и полнота проведения инвентаризаций;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4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достоверность отчетности.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 ходе проведения внеплановой проверки осуществляется контроль по вопросам, в отношении которых есть информация о возможных нарушениях.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3.2. Лица, ответственные за проведение проверки, осуществляют анализ выявленных нарушений, определяют их причины и разрабатывают предложения для принятия мер по их устранению и недопущению в дальнейшем.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Результаты проведения предварительного и текущего контроля оформляются в виде протоколов проведения внутренней проверки. К ним могут прилагаться перечень мероприятий по устранению недостатков и нарушений, если таковые были выявлены, а также рекомендации по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недопущению возможных ошибок.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3.3. Результаты проведения последующего контроля оформляются в виде акта. Акт проверки должен включать в себя следующие сведения: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программа проверки (утверждается руководителем учреждения);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характер и состояние систем бухгалтерского учета и отчетности;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виды, методы и приемы, применяемые в процессе проведения контрольных мероприятий;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анализ соблюдения законодательства России, регламентирующего порядок</w:t>
        <w:br/>
        <w:t xml:space="preserve">осуществления финансово-хозяйственной деятельности;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выводы о результатах проведения контроля;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5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описание принятых мер и перечень мероприятий по устранению недостатков и</w:t>
        <w:br/>
        <w:t xml:space="preserve">нарушений, выявленных в ходе последующего контроля, рекомендации по недопущению возможных ошибок.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Работники учреждения, допустившие недостатки, искажения и нарушения, в письменной форме представляют руководителю учреждения объяснения по вопросам, относящимся к результатам проведения контроля.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3.4. По результатам проведения проверки главным бухгалтером учреждения (лицом,</w:t>
        <w:br/>
        <w:t xml:space="preserve">уполномоченным руководителем учреждения) разрабатывается план мероприятий по устранению выявленных недостатков и нарушений с указанием сроков и ответственных лиц, который утверж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дается руководителем учреждения.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 истечении установленного срока главный бухгалтер незамедлительно информирует руководителя учреждения о выполнении мероприятий или их неисполнении с указанием причин.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00"/>
        <w:ind w:left="0" w:right="0" w:firstLine="0"/>
        <w:jc w:val="both"/>
        <w:spacing w:before="375" w:after="150" w:line="74" w:lineRule="atLeas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222222"/>
          <w:sz w:val="28"/>
          <w:szCs w:val="28"/>
        </w:rPr>
        <w:t xml:space="preserve">4. Субъекты внутреннего контроля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4.1. В систему субъектов внутреннего контроля входят: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16"/>
        <w:numPr>
          <w:ilvl w:val="0"/>
          <w:numId w:val="36"/>
        </w:numPr>
        <w:ind w:right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руководитель учреждения и его заместители;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16"/>
        <w:numPr>
          <w:ilvl w:val="0"/>
          <w:numId w:val="36"/>
        </w:numPr>
        <w:ind w:right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комиссия по внутреннему контролю;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16"/>
        <w:numPr>
          <w:ilvl w:val="0"/>
          <w:numId w:val="36"/>
        </w:numPr>
        <w:ind w:right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руководители и работники учреждения на всех уровнях;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16"/>
        <w:numPr>
          <w:ilvl w:val="0"/>
          <w:numId w:val="36"/>
        </w:numPr>
        <w:ind w:right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сторонние организации, привлекаемые для целей проверки финансово-хозяйственной деятельности учреждения.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 учреждения, в том числе положениями о соответствующих структурных подразделениях, а также организ</w:t>
      </w: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ационно-распорядительными документами учреждения и должностными инструкциями работников.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00"/>
        <w:ind w:left="0" w:right="0" w:firstLine="0"/>
        <w:jc w:val="both"/>
        <w:spacing w:before="375" w:after="150" w:line="74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5. Права комиссии по проведению внутренних проверок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5.1. Для обеспечения эффективности внутреннего контроля комиссия по проведению внутренних проверок имеет право: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проверять соответствие финансово-хозяйственных операций действующему законодательству;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проверять правильность составления бухгалтерских документов и своевременного их отражения в учете;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входить (с возможным привлечением главного бухгалтера) в помещение проверяемого объекта, в помещения, используемые для хранения документов (архивы), наличных денег и ценностей, компьютерной обработки данных и хранения данных на машинных носителях;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проверять наличие денежных средств, денежных документов и бланков строгой отчетности в кассе учреждения и подразделений, использующих наличные расчеты с населением и проверять правильность применения ККМ. При этом исключить из сроков, в которые такая прове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рка может быть проведена, период выплаты заработной платы;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проверять все учетные бухгалтерские регистры;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проверять планово-сметные документы;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ознакомляться со всеми учредительными и распорядительными документами (приказами, распоряжениями, указаниями руководства учреждения), регулирующими финансово-хозяйственную деятельность;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ознакомляться с перепиской подразделения с вышестоящими организациями, деловыми партнерами, другими юридическими, а также физическими лицами (жалобы и заявления);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обследовать производственные и служебные помещения (при этом могут преследоваться цели, не связанные напрямую с финансовым состоянием подразделения, например, проверка противопожарного состояния помещений или оценка рациональности используемых технологичес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ких схем);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проводить мероприятия научной организации труда (хронометраж, фотография рабочего времени, метод моментальных фотографий и т. п.) с целью оценки напряженности норм времени и норм выработки;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проверять состояние и сохранность товарно-материальных ценностей у материально ответственных и подотчетных лиц;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проверять состояние, наличие и эффективность использования объектов основных средств;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проверять правильность оформления бухгалтерских операций, а также правильность начислений и своевременность уплаты налогов в бюджет и сборов в государственные внебюджетные фонды;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требовать от руководителей структурных подразделений справки, расчеты и объяснения по проверяемым фактам хозяйственной деятельности;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7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на иные действия, обусловленные спецификой деятельности комиссии и иными факторами.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00"/>
        <w:ind w:left="0" w:right="0" w:firstLine="0"/>
        <w:jc w:val="both"/>
        <w:spacing w:before="375" w:after="150" w:line="74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6. Оценка рисков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6.1. Оценка бюджетных рисков состоит в идентификации рисков по каждой указанной в Перечне операции и определении уровня риска.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Идентификация рисков заключается в определении по каждой операции (действию по формированию документа, необходимого для выполнения внутренней бюджетной процедуры) возможных событий, наступление которых негативно повлияет на результат внутренней бюджетной 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роцедуры: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– несвоевременность выполнения операции;</w:t>
        <w:br/>
        <w:t xml:space="preserve">– ошибки, допущенные в ходе выполнения операции.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Идентификация рисков проводится путем проведения анализа информации, указанной в представлениях и предписаниях органов государственного финансового контроля, рекомендациях (предложениях) внутреннего финансового аудита, иной информации об имеющихся нарушени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ях и недостатках в сфере бюджетных правоотношений, их причинах и условиях, в том числе информации, содержащейся в результатах отчетов финансового контроля.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6.2. Каждый бюджетный риск подлежит оценке по критерию «вероятность», характеризующем ожидание наступления события, негативно влияющего на выполнение внутренних бюджетных процедур, и критерию «последствия», характеризующему размер наносимого ущерба, снижен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ие внешней оценки качества финансового менеджмента главного администратора бюджетных средств, существенность налагаемых санкций за допущенное нарушение бюджетного</w:t>
        <w:br/>
        <w:t xml:space="preserve">законодательства, снижение результативности (экономности) использования бюджетных средств. По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каждому критерию определяется шкала уровней вероятности (последствий) риска, имеющая пять позиций: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уровень по критерию «вероятность» – невероятный (от 0% до 20%), маловероятный (от 20% до 40%), средний (от 40% до 60%), вероятный (от 60% до 80%), ожидаемый (от 80% до 100%);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8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уровень по критерию «последствия» – низкий, умеренный, высокий, очень высокий.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6.3. Оценка вероятности осуществляется на основе анализа информации о следующих причинах рисков: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9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недостаточность положений правовых актов, регламентирующих выполнение внутренней бюджетной процедуры, их несоответствие нормативным правовым актам, регулирующим бюджетные правоотношения, на момент совершения операции;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9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длительный период обновления средств автоматизации подготовки документа;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9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низкое качество содержания и (или) несвоевременность представления документов, представляемых должностным лицам, осуществляющим внутренние бюджетные процедуры, необходимых для проведения операций (действий по формированию документа, необходимого для выполн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ения внутренней бюджетной процедуры);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9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наличие конфликта интересов у должностных лиц, осуществляющих внутренние бюджетные процедуры (например, приемка товаров, работ, услуг и оформление заявки на кассовый расход в целях оплаты закупки осуществляется одним должностным лицом);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9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отсутствие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ресурсами;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9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неэффективность средств автоматизации подготовки документа, необходимого для выполнения внутренней бюджетной процедуры;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16"/>
        <w:numPr>
          <w:ilvl w:val="0"/>
          <w:numId w:val="39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недостаточная укомплектованность подразделения, ответственного за выполнение внутренней бюджетной процедуры, а также уровня квалификации сотрудников указанного подразделения.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6.4. Операции с уровнем риска «средний», «высокий», «очень высокий» включаются в карту внутреннего финансового контроля.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00"/>
        <w:ind w:left="0" w:right="0" w:firstLine="0"/>
        <w:jc w:val="both"/>
        <w:spacing w:before="375" w:after="150" w:line="74" w:lineRule="atLeast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7. Порядок ведения, учета и хранения регистров (журналов) внутреннего финансового контроля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7.1. Выявленные недостатки и (или) нарушения при исполнении внутренних бюджетных процедур, сведения о причинах и об обстоятельствах бюджетных рисков возникновения нарушений и (или) недостатков и о предлагаемых мерах по их устранению отражаются в регистрах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(журналах) внутреннего финансового контроля.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7.2. Ведение журналов внутреннего финансового контроля осуществляется в каждом подразделении, ответственном за выполнение внутренних бюджетных процедур.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7.3. Информация в журналы внутреннего финансового контроля заносится уполномоченными лицами на основании информации от должностных лиц, осуществляющих контрольные действия по мере их совершения в хронологическом порядке.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7.4. Учет и хранение журналов внутреннего финансового контроля осуществляется способами, обеспечивающими их защиту от несанкционированных исправлений, утраты целостности информации в них и сохранность самих документов, в соответствии с требованиями делопро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изводства, принятыми в учреждении, в том числе с применением автоматизированных информационных систем.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00"/>
        <w:ind w:left="0" w:right="0" w:firstLine="0"/>
        <w:jc w:val="both"/>
        <w:spacing w:before="375" w:after="150" w:line="74" w:lineRule="atLeas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222222"/>
          <w:sz w:val="28"/>
          <w:szCs w:val="28"/>
        </w:rPr>
        <w:t xml:space="preserve">8. Особенности проведения внутреннего контроля по отдельным объектам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8.1. Внутренний контроль за остатками на счетах бухгалтерского учета.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8.1.1. Бухгалтеры на каждом участке учета несут персональную ответственность за соответствие сальдо счетов их экономической природе. Активные счета должны иметь дебетовое сальдо, пассивные – кредитовое.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8.1.2. Недопустимо наличие кредитового сальдо на активных счетах и дебетового сальдо на пассивных счетах.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8.1.3. Контролю подлежат остатки по каждой хозяйственной операции, каждому первичному документу и на всех аналитических счетах Рабочего плана счетов.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8.1.4. Процедура контроля: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Проверка остатков счетов осуществляется при каждой операции и по окончании каждого отчетного периода.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В бухгалтерской программе должна быть реализована функция автоматической проверки соответствия сальдо счетов их типу (активный/пассивный и активно-пассивный).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При выявлении некорректного сальдо бухгалтер должен: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16"/>
        <w:numPr>
          <w:ilvl w:val="0"/>
          <w:numId w:val="40"/>
        </w:numPr>
        <w:ind w:right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перепроверить корректность ввода данных;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16"/>
        <w:numPr>
          <w:ilvl w:val="0"/>
          <w:numId w:val="40"/>
        </w:numPr>
        <w:ind w:right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проверить наличие и проведение всех первичных документов, относящихся к данной операции;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16"/>
        <w:numPr>
          <w:ilvl w:val="0"/>
          <w:numId w:val="40"/>
        </w:numPr>
        <w:ind w:right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при отсутствии первичных документов сообщить главному бухгалтеру.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Главный бухгалтер направляет письменное требование ответственному за документ сотруднику о предоставлении необходимых документов.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8.2. В</w:t>
      </w: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нутренний контроль за дебиторской задолженностью.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8.2.1. Для минимизации рисков возникновения просроченной, сомнительной и безнадежной к взысканию дебиторской задолженности учреждение организует и проводит управление дебиторской задолженностью, в том числе: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16"/>
        <w:numPr>
          <w:ilvl w:val="0"/>
          <w:numId w:val="41"/>
        </w:numPr>
        <w:ind w:right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непрерывный ежемесячный мониторинг и анализ каждой суммы задолженности – с момента возникновения долга;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16"/>
        <w:numPr>
          <w:ilvl w:val="0"/>
          <w:numId w:val="41"/>
        </w:numPr>
        <w:ind w:right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инвентаризация задолженности перед годовой отчетностью и списанием долга;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16"/>
        <w:numPr>
          <w:ilvl w:val="0"/>
          <w:numId w:val="41"/>
        </w:numPr>
        <w:ind w:right="0"/>
        <w:jc w:val="both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проактивную работу по предупреждению просроченных долгов 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взысканию на ранних сроках.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8.2.2. Детальный порядок управления дебиторской задолженностью, ответственные сотрудники и сроки устанавливаются в локальном акте учреждения –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согласно Приложения № </w:t>
      </w:r>
      <w:hyperlink r:id="rId15" w:tooltip="https://gosfinansy.ru/group?groupId=104424061&amp;locale=ru&amp;date=2025-12-01&amp;isStatic=false&amp;pubAlias=mcfr-gf" w:history="1">
        <w:r>
          <w:rPr>
            <w:rStyle w:val="983"/>
            <w:rFonts w:ascii="Times New Roman" w:hAnsi="Times New Roman" w:eastAsia="Times New Roman" w:cs="Times New Roman"/>
            <w:color w:val="000000" w:themeColor="text1"/>
            <w:sz w:val="28"/>
            <w:szCs w:val="28"/>
            <w:highlight w:val="white"/>
            <w:u w:val="none"/>
          </w:rPr>
          <w:t xml:space="preserve">17 </w:t>
        </w:r>
        <w:r>
          <w:rPr>
            <w:rStyle w:val="983"/>
            <w:rFonts w:ascii="Times New Roman" w:hAnsi="Times New Roman" w:eastAsia="Times New Roman" w:cs="Times New Roman"/>
            <w:color w:val="000000" w:themeColor="text1"/>
            <w:sz w:val="28"/>
            <w:szCs w:val="28"/>
            <w:highlight w:val="none"/>
            <w:u w:val="none"/>
          </w:rPr>
          <w:t xml:space="preserve">к учетной политике.</w:t>
        </w:r>
        <w:r>
          <w:rPr>
            <w:rStyle w:val="983"/>
            <w:rFonts w:ascii="Times New Roman" w:hAnsi="Times New Roman" w:eastAsia="Times New Roman" w:cs="Times New Roman"/>
            <w:color w:val="000000" w:themeColor="text1"/>
            <w:sz w:val="28"/>
            <w:szCs w:val="28"/>
            <w:highlight w:val="white"/>
            <w:u w:val="none"/>
          </w:rPr>
        </w:r>
      </w:hyperlink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800"/>
        <w:ind w:left="0" w:right="0" w:firstLine="0"/>
        <w:jc w:val="both"/>
        <w:spacing w:before="375" w:after="150" w:line="74" w:lineRule="atLeas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222222"/>
          <w:sz w:val="28"/>
          <w:szCs w:val="28"/>
        </w:rPr>
        <w:t xml:space="preserve">9. Ответственность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9.1. Субъекты внутреннего контроля в рамках их компетенции и в соответствии со своими функциональными обязанностями несут ответственность за разработку, документирование, внедрение, мониторинг и развитие внутреннего контроля во вверенных им сферах деятельн</w:t>
      </w: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ости.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9.2. Ответственность за организацию и функционирование системы внутреннего контроля возлагается на главного бухгалтера.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9.3. Лица, допустившие недостатки, искажения и нарушения, несут дисциплинарную ответственность в соответствии с требованиями Трудового кодекса РФ.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00"/>
        <w:ind w:left="0" w:right="0" w:firstLine="0"/>
        <w:jc w:val="both"/>
        <w:spacing w:before="375" w:after="150" w:line="74" w:lineRule="atLeas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222222"/>
          <w:sz w:val="28"/>
          <w:szCs w:val="28"/>
        </w:rPr>
        <w:t xml:space="preserve">10. Оценка состояния системы финансового контроля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10.1. Оценка эффективности системы внутреннего контроля в учреждении осуществляется субъектами внутреннего контроля и рассматривается на специальных совещаниях, проводимых руководителем учреждения.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10.2. Непосредственная оценка адекватности, достаточности и эффективности системы внутреннего контроля, а также контроль за соблюдением процедур внутреннего контроля осуществляется комиссией по внутреннему контролю.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8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В рамках указанных полномочий комиссия по внутреннему контролю представляет руководителю учреждения результаты проверок эффективности действующих процедур внутреннего контроля и в случае необходимости разработанные совместно с главным бухгалтером предложен</w:t>
      </w: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ия по их совершенствованию. График внутренних проверок устанавливается отдельным приказом руководителя.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00"/>
        <w:ind w:left="0" w:right="0" w:firstLine="0"/>
        <w:jc w:val="both"/>
        <w:spacing w:before="375" w:after="150" w:line="74" w:lineRule="atLeas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222222"/>
          <w:sz w:val="28"/>
          <w:szCs w:val="28"/>
        </w:rPr>
        <w:t xml:space="preserve">11. Заключительные положения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11.1. Все изменения и дополнения к настоящему положению утверждаются руководителем учреждения.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22222"/>
          <w:sz w:val="28"/>
          <w:szCs w:val="28"/>
        </w:rPr>
        <w:t xml:space="preserve">11.2. Если в результате изменения действующего законодательства России отдельные статьи настоящего положения вступят с ним в противоречие, они утрачивают силу, преимущественную силу имеют положения действующего законодательства России.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  <w:br/>
      </w:r>
      <w:r/>
    </w:p>
    <w:p>
      <w:pPr>
        <w:pStyle w:val="989"/>
        <w:jc w:val="both"/>
        <w:spacing w:before="0" w:beforeAutospacing="0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/>
      <w:bookmarkStart w:id="81" w:name="dfasln4c6i"/>
      <w:r/>
      <w:bookmarkEnd w:id="81"/>
      <w:r/>
      <w:bookmarkStart w:id="82" w:name="dfasi57z80"/>
      <w:r/>
      <w:bookmarkEnd w:id="82"/>
      <w:r>
        <w:rPr>
          <w:b/>
          <w:bCs/>
          <w:sz w:val="28"/>
          <w:szCs w:val="28"/>
        </w:rPr>
        <w:t xml:space="preserve">График проведения внутренних проверок финансово-хозяйственной деятельности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9"/>
        <w:jc w:val="both"/>
        <w:spacing w:before="0" w:beforeAutospacing="0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/>
      <w:bookmarkStart w:id="83" w:name="dfaslua5lh"/>
      <w:r/>
      <w:bookmarkEnd w:id="83"/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120" w:type="dxa"/>
        <w:tblInd w:w="0" w:type="dxa"/>
        <w:tblLayout w:type="autofit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32"/>
        <w:gridCol w:w="2421"/>
        <w:gridCol w:w="2421"/>
        <w:gridCol w:w="1659"/>
        <w:gridCol w:w="2187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32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/>
            <w:bookmarkStart w:id="84" w:name="dfasg2zzzl"/>
            <w:r/>
            <w:bookmarkEnd w:id="84"/>
            <w:r>
              <w:rPr>
                <w:sz w:val="28"/>
                <w:szCs w:val="28"/>
              </w:rPr>
              <w:t xml:space="preserve">№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421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Объект проверки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421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 проведения </w:t>
            </w:r>
            <w:r>
              <w:rPr>
                <w:sz w:val="28"/>
                <w:szCs w:val="28"/>
              </w:rPr>
              <w:br w:type="textWrapping" w:clear="all"/>
            </w:r>
            <w:r>
              <w:rPr>
                <w:sz w:val="28"/>
                <w:szCs w:val="28"/>
              </w:rPr>
              <w:t xml:space="preserve">проверки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1659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Период, за </w:t>
            </w:r>
            <w:r>
              <w:rPr>
                <w:sz w:val="28"/>
                <w:szCs w:val="28"/>
              </w:rPr>
              <w:br w:type="textWrapping" w:clear="all"/>
            </w:r>
            <w:r>
              <w:rPr>
                <w:sz w:val="28"/>
                <w:szCs w:val="28"/>
              </w:rPr>
              <w:t xml:space="preserve">который </w:t>
            </w:r>
            <w:r>
              <w:rPr>
                <w:sz w:val="28"/>
                <w:szCs w:val="28"/>
              </w:rPr>
              <w:br w:type="textWrapping" w:clear="all"/>
            </w:r>
            <w:r>
              <w:rPr>
                <w:sz w:val="28"/>
                <w:szCs w:val="28"/>
              </w:rPr>
              <w:t xml:space="preserve">проводится </w:t>
            </w:r>
            <w:r>
              <w:rPr>
                <w:sz w:val="28"/>
                <w:szCs w:val="28"/>
              </w:rPr>
              <w:br w:type="textWrapping" w:clear="all"/>
            </w:r>
            <w:r>
              <w:rPr>
                <w:sz w:val="28"/>
                <w:szCs w:val="28"/>
              </w:rPr>
              <w:t xml:space="preserve">проверка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187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</w:t>
            </w:r>
            <w:r>
              <w:rPr>
                <w:sz w:val="28"/>
                <w:szCs w:val="28"/>
              </w:rPr>
              <w:br w:type="textWrapping" w:clear="all"/>
            </w:r>
            <w:r>
              <w:rPr>
                <w:sz w:val="28"/>
                <w:szCs w:val="28"/>
              </w:rPr>
              <w:t xml:space="preserve">исполнитель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32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421" w:type="auto"/>
            <w:vAlign w:val="top"/>
            <w:textDirection w:val="lrTb"/>
            <w:noWrap w:val="false"/>
          </w:tcPr>
          <w:p>
            <w:pPr>
              <w:pStyle w:val="989"/>
              <w:jc w:val="both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421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1659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187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32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421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421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1659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187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32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421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421" w:type="auto"/>
            <w:vAlign w:val="top"/>
            <w:textDirection w:val="lrTb"/>
            <w:noWrap w:val="false"/>
          </w:tcPr>
          <w:p>
            <w:pPr>
              <w:pStyle w:val="989"/>
              <w:jc w:val="both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1659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187" w:type="auto"/>
            <w:vAlign w:val="top"/>
            <w:textDirection w:val="lrTb"/>
            <w:noWrap w:val="false"/>
          </w:tcPr>
          <w:p>
            <w:pPr>
              <w:pStyle w:val="989"/>
              <w:jc w:val="both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32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421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421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1659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187" w:type="auto"/>
            <w:vAlign w:val="top"/>
            <w:textDirection w:val="lrTb"/>
            <w:noWrap w:val="false"/>
          </w:tcPr>
          <w:p>
            <w:pPr>
              <w:pStyle w:val="989"/>
              <w:jc w:val="both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32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421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421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1659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187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32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421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421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1659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187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432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421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421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1659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2187" w:type="auto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976"/>
        <w:jc w:val="both"/>
        <w:rPr>
          <w:vanish/>
          <w:sz w:val="28"/>
          <w:szCs w:val="28"/>
        </w:rPr>
      </w:pPr>
      <w:r>
        <w:rPr>
          <w:vanish/>
          <w:sz w:val="28"/>
          <w:szCs w:val="28"/>
        </w:rPr>
      </w:r>
      <w:r>
        <w:rPr>
          <w:vanish/>
          <w:sz w:val="28"/>
          <w:szCs w:val="28"/>
        </w:rPr>
      </w:r>
      <w:r>
        <w:rPr>
          <w:vanish/>
          <w:sz w:val="28"/>
          <w:szCs w:val="28"/>
        </w:rPr>
      </w:r>
    </w:p>
    <w:tbl>
      <w:tblPr>
        <w:tblW w:w="9090" w:type="dxa"/>
        <w:tblInd w:w="0" w:type="dxa"/>
        <w:tblLayout w:type="autofit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3179"/>
        <w:gridCol w:w="425"/>
        <w:gridCol w:w="1927"/>
        <w:gridCol w:w="3559"/>
      </w:tblGrid>
      <w:tr>
        <w:tblPrEx/>
        <w:trPr/>
        <w:tc>
          <w:tcPr>
            <w:tcMar>
              <w:left w:w="60" w:type="dxa"/>
              <w:top w:w="60" w:type="dxa"/>
              <w:right w:w="60" w:type="dxa"/>
              <w:bottom w:w="60" w:type="dxa"/>
            </w:tcMar>
            <w:tcW w:w="3179" w:type="dxa"/>
            <w:vAlign w:val="bottom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60" w:type="dxa"/>
              <w:top w:w="60" w:type="dxa"/>
              <w:right w:w="60" w:type="dxa"/>
              <w:bottom w:w="60" w:type="dxa"/>
            </w:tcMar>
            <w:tcW w:w="425" w:type="dxa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bottom w:val="single" w:color="000000" w:sz="8" w:space="0"/>
            </w:tcBorders>
            <w:tcMar>
              <w:left w:w="60" w:type="dxa"/>
              <w:top w:w="60" w:type="dxa"/>
              <w:right w:w="60" w:type="dxa"/>
              <w:bottom w:w="60" w:type="dxa"/>
            </w:tcMar>
            <w:tcW w:w="1927" w:type="dxa"/>
            <w:vAlign w:val="top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 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Mar>
              <w:left w:w="60" w:type="dxa"/>
              <w:top w:w="60" w:type="dxa"/>
              <w:right w:w="60" w:type="dxa"/>
              <w:bottom w:w="60" w:type="dxa"/>
            </w:tcMar>
            <w:tcW w:w="3559" w:type="auto"/>
            <w:vAlign w:val="bottom"/>
            <w:textDirection w:val="lrTb"/>
            <w:noWrap w:val="false"/>
          </w:tcPr>
          <w:p>
            <w:pPr>
              <w:pStyle w:val="9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r/>
      <w:r/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1134" w:right="1434" w:bottom="1134" w:left="14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Consolas">
    <w:panose1 w:val="020B060602020203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8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6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65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85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05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25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5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65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85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5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25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222222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222222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222222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222222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222222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222222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222222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222222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222222"/>
        <w:sz w:val="21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222222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222222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222222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222222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222222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222222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222222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222222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222222"/>
        <w:sz w:val="21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222222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222222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222222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222222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222222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222222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222222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222222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222222"/>
        <w:sz w:val="21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222222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222222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222222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222222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222222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222222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222222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222222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222222"/>
        <w:sz w:val="21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222222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222222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222222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222222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222222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222222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222222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222222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222222"/>
        <w:sz w:val="21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222222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222222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222222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222222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222222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222222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222222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222222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222222"/>
        <w:sz w:val="21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222222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222222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222222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222222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222222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222222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222222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222222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222222"/>
        <w:sz w:val="21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222222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222222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222222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222222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222222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222222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222222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222222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222222"/>
        <w:sz w:val="21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19"/>
  </w:num>
  <w:num w:numId="5">
    <w:abstractNumId w:val="9"/>
  </w:num>
  <w:num w:numId="6">
    <w:abstractNumId w:val="8"/>
  </w:num>
  <w:num w:numId="7">
    <w:abstractNumId w:val="16"/>
  </w:num>
  <w:num w:numId="8">
    <w:abstractNumId w:val="3"/>
  </w:num>
  <w:num w:numId="9">
    <w:abstractNumId w:val="17"/>
  </w:num>
  <w:num w:numId="10">
    <w:abstractNumId w:val="15"/>
  </w:num>
  <w:num w:numId="11">
    <w:abstractNumId w:val="0"/>
  </w:num>
  <w:num w:numId="12">
    <w:abstractNumId w:val="13"/>
  </w:num>
  <w:num w:numId="13">
    <w:abstractNumId w:val="10"/>
  </w:num>
  <w:num w:numId="14">
    <w:abstractNumId w:val="2"/>
  </w:num>
  <w:num w:numId="15">
    <w:abstractNumId w:val="6"/>
  </w:num>
  <w:num w:numId="16">
    <w:abstractNumId w:val="11"/>
  </w:num>
  <w:num w:numId="17">
    <w:abstractNumId w:val="18"/>
  </w:num>
  <w:num w:numId="18">
    <w:abstractNumId w:val="7"/>
  </w:num>
  <w:num w:numId="19">
    <w:abstractNumId w:val="14"/>
  </w:num>
  <w:num w:numId="20">
    <w:abstractNumId w:val="1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98">
    <w:name w:val="Heading 1"/>
    <w:basedOn w:val="976"/>
    <w:next w:val="976"/>
    <w:link w:val="79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99">
    <w:name w:val="Heading 1 Char"/>
    <w:link w:val="798"/>
    <w:uiPriority w:val="9"/>
    <w:rPr>
      <w:rFonts w:ascii="Arial" w:hAnsi="Arial" w:eastAsia="Arial" w:cs="Arial"/>
      <w:sz w:val="40"/>
      <w:szCs w:val="40"/>
    </w:rPr>
  </w:style>
  <w:style w:type="paragraph" w:styleId="800">
    <w:name w:val="Heading 2"/>
    <w:basedOn w:val="976"/>
    <w:next w:val="976"/>
    <w:link w:val="80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01">
    <w:name w:val="Heading 2 Char"/>
    <w:link w:val="800"/>
    <w:uiPriority w:val="9"/>
    <w:rPr>
      <w:rFonts w:ascii="Arial" w:hAnsi="Arial" w:eastAsia="Arial" w:cs="Arial"/>
      <w:sz w:val="34"/>
    </w:rPr>
  </w:style>
  <w:style w:type="paragraph" w:styleId="802">
    <w:name w:val="Heading 3"/>
    <w:basedOn w:val="976"/>
    <w:next w:val="976"/>
    <w:link w:val="80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03">
    <w:name w:val="Heading 3 Char"/>
    <w:link w:val="802"/>
    <w:uiPriority w:val="9"/>
    <w:rPr>
      <w:rFonts w:ascii="Arial" w:hAnsi="Arial" w:eastAsia="Arial" w:cs="Arial"/>
      <w:sz w:val="30"/>
      <w:szCs w:val="30"/>
    </w:rPr>
  </w:style>
  <w:style w:type="paragraph" w:styleId="804">
    <w:name w:val="Heading 4"/>
    <w:basedOn w:val="976"/>
    <w:next w:val="976"/>
    <w:link w:val="80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05">
    <w:name w:val="Heading 4 Char"/>
    <w:link w:val="804"/>
    <w:uiPriority w:val="9"/>
    <w:rPr>
      <w:rFonts w:ascii="Arial" w:hAnsi="Arial" w:eastAsia="Arial" w:cs="Arial"/>
      <w:b/>
      <w:bCs/>
      <w:sz w:val="26"/>
      <w:szCs w:val="26"/>
    </w:rPr>
  </w:style>
  <w:style w:type="paragraph" w:styleId="806">
    <w:name w:val="Heading 5"/>
    <w:basedOn w:val="976"/>
    <w:next w:val="976"/>
    <w:link w:val="80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07">
    <w:name w:val="Heading 5 Char"/>
    <w:link w:val="806"/>
    <w:uiPriority w:val="9"/>
    <w:rPr>
      <w:rFonts w:ascii="Arial" w:hAnsi="Arial" w:eastAsia="Arial" w:cs="Arial"/>
      <w:b/>
      <w:bCs/>
      <w:sz w:val="24"/>
      <w:szCs w:val="24"/>
    </w:rPr>
  </w:style>
  <w:style w:type="paragraph" w:styleId="808">
    <w:name w:val="Heading 6"/>
    <w:basedOn w:val="976"/>
    <w:next w:val="976"/>
    <w:link w:val="80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09">
    <w:name w:val="Heading 6 Char"/>
    <w:link w:val="808"/>
    <w:uiPriority w:val="9"/>
    <w:rPr>
      <w:rFonts w:ascii="Arial" w:hAnsi="Arial" w:eastAsia="Arial" w:cs="Arial"/>
      <w:b/>
      <w:bCs/>
      <w:sz w:val="22"/>
      <w:szCs w:val="22"/>
    </w:rPr>
  </w:style>
  <w:style w:type="paragraph" w:styleId="810">
    <w:name w:val="Heading 7"/>
    <w:basedOn w:val="976"/>
    <w:next w:val="976"/>
    <w:link w:val="81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1">
    <w:name w:val="Heading 7 Char"/>
    <w:link w:val="8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2">
    <w:name w:val="Heading 8"/>
    <w:basedOn w:val="976"/>
    <w:next w:val="976"/>
    <w:link w:val="81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3">
    <w:name w:val="Heading 8 Char"/>
    <w:link w:val="812"/>
    <w:uiPriority w:val="9"/>
    <w:rPr>
      <w:rFonts w:ascii="Arial" w:hAnsi="Arial" w:eastAsia="Arial" w:cs="Arial"/>
      <w:i/>
      <w:iCs/>
      <w:sz w:val="22"/>
      <w:szCs w:val="22"/>
    </w:rPr>
  </w:style>
  <w:style w:type="paragraph" w:styleId="814">
    <w:name w:val="Heading 9"/>
    <w:basedOn w:val="976"/>
    <w:next w:val="976"/>
    <w:link w:val="81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5">
    <w:name w:val="Heading 9 Char"/>
    <w:link w:val="814"/>
    <w:uiPriority w:val="9"/>
    <w:rPr>
      <w:rFonts w:ascii="Arial" w:hAnsi="Arial" w:eastAsia="Arial" w:cs="Arial"/>
      <w:i/>
      <w:iCs/>
      <w:sz w:val="21"/>
      <w:szCs w:val="21"/>
    </w:rPr>
  </w:style>
  <w:style w:type="paragraph" w:styleId="816">
    <w:name w:val="List Paragraph"/>
    <w:basedOn w:val="976"/>
    <w:uiPriority w:val="34"/>
    <w:qFormat/>
    <w:pPr>
      <w:contextualSpacing/>
      <w:ind w:left="720"/>
    </w:pPr>
  </w:style>
  <w:style w:type="paragraph" w:styleId="817">
    <w:name w:val="No Spacing"/>
    <w:uiPriority w:val="1"/>
    <w:qFormat/>
    <w:pPr>
      <w:spacing w:before="0" w:after="0" w:line="240" w:lineRule="auto"/>
    </w:pPr>
  </w:style>
  <w:style w:type="paragraph" w:styleId="818">
    <w:name w:val="Title"/>
    <w:basedOn w:val="976"/>
    <w:next w:val="976"/>
    <w:link w:val="8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19">
    <w:name w:val="Title Char"/>
    <w:link w:val="818"/>
    <w:uiPriority w:val="10"/>
    <w:rPr>
      <w:sz w:val="48"/>
      <w:szCs w:val="48"/>
    </w:rPr>
  </w:style>
  <w:style w:type="paragraph" w:styleId="820">
    <w:name w:val="Subtitle"/>
    <w:basedOn w:val="976"/>
    <w:next w:val="976"/>
    <w:link w:val="821"/>
    <w:uiPriority w:val="11"/>
    <w:qFormat/>
    <w:pPr>
      <w:spacing w:before="200" w:after="200"/>
    </w:pPr>
    <w:rPr>
      <w:sz w:val="24"/>
      <w:szCs w:val="24"/>
    </w:rPr>
  </w:style>
  <w:style w:type="character" w:styleId="821">
    <w:name w:val="Subtitle Char"/>
    <w:link w:val="820"/>
    <w:uiPriority w:val="11"/>
    <w:rPr>
      <w:sz w:val="24"/>
      <w:szCs w:val="24"/>
    </w:rPr>
  </w:style>
  <w:style w:type="paragraph" w:styleId="822">
    <w:name w:val="Quote"/>
    <w:basedOn w:val="976"/>
    <w:next w:val="976"/>
    <w:link w:val="823"/>
    <w:uiPriority w:val="29"/>
    <w:qFormat/>
    <w:pPr>
      <w:ind w:left="720" w:right="720"/>
    </w:pPr>
    <w:rPr>
      <w:i/>
    </w:rPr>
  </w:style>
  <w:style w:type="character" w:styleId="823">
    <w:name w:val="Quote Char"/>
    <w:link w:val="822"/>
    <w:uiPriority w:val="29"/>
    <w:rPr>
      <w:i/>
    </w:rPr>
  </w:style>
  <w:style w:type="paragraph" w:styleId="824">
    <w:name w:val="Intense Quote"/>
    <w:basedOn w:val="976"/>
    <w:next w:val="976"/>
    <w:link w:val="8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5">
    <w:name w:val="Intense Quote Char"/>
    <w:link w:val="824"/>
    <w:uiPriority w:val="30"/>
    <w:rPr>
      <w:i/>
    </w:rPr>
  </w:style>
  <w:style w:type="paragraph" w:styleId="826">
    <w:name w:val="Header"/>
    <w:basedOn w:val="976"/>
    <w:link w:val="8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27">
    <w:name w:val="Header Char"/>
    <w:link w:val="826"/>
    <w:uiPriority w:val="99"/>
  </w:style>
  <w:style w:type="paragraph" w:styleId="828">
    <w:name w:val="Footer"/>
    <w:basedOn w:val="976"/>
    <w:link w:val="83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29">
    <w:name w:val="Footer Char"/>
    <w:link w:val="828"/>
    <w:uiPriority w:val="99"/>
  </w:style>
  <w:style w:type="paragraph" w:styleId="830">
    <w:name w:val="Caption"/>
    <w:basedOn w:val="976"/>
    <w:next w:val="97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31">
    <w:name w:val="Caption Char"/>
    <w:basedOn w:val="830"/>
    <w:link w:val="828"/>
    <w:uiPriority w:val="99"/>
  </w:style>
  <w:style w:type="table" w:styleId="83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0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3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3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3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3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8">
    <w:name w:val="Hyperlink"/>
    <w:uiPriority w:val="99"/>
    <w:unhideWhenUsed/>
    <w:rPr>
      <w:color w:val="0000ff" w:themeColor="hyperlink"/>
      <w:u w:val="single"/>
    </w:rPr>
  </w:style>
  <w:style w:type="paragraph" w:styleId="959">
    <w:name w:val="footnote text"/>
    <w:basedOn w:val="976"/>
    <w:link w:val="960"/>
    <w:uiPriority w:val="99"/>
    <w:semiHidden/>
    <w:unhideWhenUsed/>
    <w:pPr>
      <w:spacing w:after="40" w:line="240" w:lineRule="auto"/>
    </w:pPr>
    <w:rPr>
      <w:sz w:val="18"/>
    </w:rPr>
  </w:style>
  <w:style w:type="character" w:styleId="960">
    <w:name w:val="Footnote Text Char"/>
    <w:link w:val="959"/>
    <w:uiPriority w:val="99"/>
    <w:rPr>
      <w:sz w:val="18"/>
    </w:rPr>
  </w:style>
  <w:style w:type="character" w:styleId="961">
    <w:name w:val="footnote reference"/>
    <w:uiPriority w:val="99"/>
    <w:unhideWhenUsed/>
    <w:rPr>
      <w:vertAlign w:val="superscript"/>
    </w:rPr>
  </w:style>
  <w:style w:type="paragraph" w:styleId="962">
    <w:name w:val="endnote text"/>
    <w:basedOn w:val="976"/>
    <w:link w:val="963"/>
    <w:uiPriority w:val="99"/>
    <w:semiHidden/>
    <w:unhideWhenUsed/>
    <w:pPr>
      <w:spacing w:after="0" w:line="240" w:lineRule="auto"/>
    </w:pPr>
    <w:rPr>
      <w:sz w:val="20"/>
    </w:rPr>
  </w:style>
  <w:style w:type="character" w:styleId="963">
    <w:name w:val="Endnote Text Char"/>
    <w:link w:val="962"/>
    <w:uiPriority w:val="99"/>
    <w:rPr>
      <w:sz w:val="20"/>
    </w:rPr>
  </w:style>
  <w:style w:type="character" w:styleId="964">
    <w:name w:val="endnote reference"/>
    <w:uiPriority w:val="99"/>
    <w:semiHidden/>
    <w:unhideWhenUsed/>
    <w:rPr>
      <w:vertAlign w:val="superscript"/>
    </w:rPr>
  </w:style>
  <w:style w:type="paragraph" w:styleId="965">
    <w:name w:val="toc 1"/>
    <w:basedOn w:val="976"/>
    <w:next w:val="976"/>
    <w:uiPriority w:val="39"/>
    <w:unhideWhenUsed/>
    <w:pPr>
      <w:ind w:left="0" w:right="0" w:firstLine="0"/>
      <w:spacing w:after="57"/>
    </w:pPr>
  </w:style>
  <w:style w:type="paragraph" w:styleId="966">
    <w:name w:val="toc 2"/>
    <w:basedOn w:val="976"/>
    <w:next w:val="976"/>
    <w:uiPriority w:val="39"/>
    <w:unhideWhenUsed/>
    <w:pPr>
      <w:ind w:left="283" w:right="0" w:firstLine="0"/>
      <w:spacing w:after="57"/>
    </w:pPr>
  </w:style>
  <w:style w:type="paragraph" w:styleId="967">
    <w:name w:val="toc 3"/>
    <w:basedOn w:val="976"/>
    <w:next w:val="976"/>
    <w:uiPriority w:val="39"/>
    <w:unhideWhenUsed/>
    <w:pPr>
      <w:ind w:left="567" w:right="0" w:firstLine="0"/>
      <w:spacing w:after="57"/>
    </w:pPr>
  </w:style>
  <w:style w:type="paragraph" w:styleId="968">
    <w:name w:val="toc 4"/>
    <w:basedOn w:val="976"/>
    <w:next w:val="976"/>
    <w:uiPriority w:val="39"/>
    <w:unhideWhenUsed/>
    <w:pPr>
      <w:ind w:left="850" w:right="0" w:firstLine="0"/>
      <w:spacing w:after="57"/>
    </w:pPr>
  </w:style>
  <w:style w:type="paragraph" w:styleId="969">
    <w:name w:val="toc 5"/>
    <w:basedOn w:val="976"/>
    <w:next w:val="976"/>
    <w:uiPriority w:val="39"/>
    <w:unhideWhenUsed/>
    <w:pPr>
      <w:ind w:left="1134" w:right="0" w:firstLine="0"/>
      <w:spacing w:after="57"/>
    </w:pPr>
  </w:style>
  <w:style w:type="paragraph" w:styleId="970">
    <w:name w:val="toc 6"/>
    <w:basedOn w:val="976"/>
    <w:next w:val="976"/>
    <w:uiPriority w:val="39"/>
    <w:unhideWhenUsed/>
    <w:pPr>
      <w:ind w:left="1417" w:right="0" w:firstLine="0"/>
      <w:spacing w:after="57"/>
    </w:pPr>
  </w:style>
  <w:style w:type="paragraph" w:styleId="971">
    <w:name w:val="toc 7"/>
    <w:basedOn w:val="976"/>
    <w:next w:val="976"/>
    <w:uiPriority w:val="39"/>
    <w:unhideWhenUsed/>
    <w:pPr>
      <w:ind w:left="1701" w:right="0" w:firstLine="0"/>
      <w:spacing w:after="57"/>
    </w:pPr>
  </w:style>
  <w:style w:type="paragraph" w:styleId="972">
    <w:name w:val="toc 8"/>
    <w:basedOn w:val="976"/>
    <w:next w:val="976"/>
    <w:uiPriority w:val="39"/>
    <w:unhideWhenUsed/>
    <w:pPr>
      <w:ind w:left="1984" w:right="0" w:firstLine="0"/>
      <w:spacing w:after="57"/>
    </w:pPr>
  </w:style>
  <w:style w:type="paragraph" w:styleId="973">
    <w:name w:val="toc 9"/>
    <w:basedOn w:val="976"/>
    <w:next w:val="976"/>
    <w:uiPriority w:val="39"/>
    <w:unhideWhenUsed/>
    <w:pPr>
      <w:ind w:left="2268" w:right="0" w:firstLine="0"/>
      <w:spacing w:after="57"/>
    </w:pPr>
  </w:style>
  <w:style w:type="paragraph" w:styleId="974">
    <w:name w:val="TOC Heading"/>
    <w:uiPriority w:val="39"/>
    <w:unhideWhenUsed/>
  </w:style>
  <w:style w:type="paragraph" w:styleId="975">
    <w:name w:val="table of figures"/>
    <w:basedOn w:val="976"/>
    <w:next w:val="976"/>
    <w:uiPriority w:val="99"/>
    <w:unhideWhenUsed/>
    <w:pPr>
      <w:spacing w:after="0" w:afterAutospacing="0"/>
    </w:pPr>
  </w:style>
  <w:style w:type="paragraph" w:styleId="976" w:default="1">
    <w:name w:val="Normal"/>
    <w:next w:val="976"/>
    <w:link w:val="976"/>
    <w:qFormat/>
    <w:rPr>
      <w:sz w:val="24"/>
      <w:szCs w:val="24"/>
      <w:lang w:val="ru-RU" w:eastAsia="ru-RU" w:bidi="ar-SA"/>
    </w:rPr>
  </w:style>
  <w:style w:type="paragraph" w:styleId="977">
    <w:name w:val="Заголовок 1"/>
    <w:basedOn w:val="976"/>
    <w:next w:val="977"/>
    <w:link w:val="985"/>
    <w:uiPriority w:val="9"/>
    <w:qFormat/>
    <w:pPr>
      <w:spacing w:before="100" w:beforeAutospacing="1" w:after="100" w:afterAutospacing="1"/>
      <w:outlineLvl w:val="0"/>
    </w:pPr>
    <w:rPr>
      <w:b/>
      <w:bCs/>
      <w:sz w:val="22"/>
      <w:szCs w:val="22"/>
    </w:rPr>
  </w:style>
  <w:style w:type="paragraph" w:styleId="978">
    <w:name w:val="Заголовок 2"/>
    <w:basedOn w:val="976"/>
    <w:next w:val="976"/>
    <w:link w:val="1014"/>
    <w:uiPriority w:val="9"/>
    <w:semiHidden/>
    <w:unhideWhenUsed/>
    <w:qFormat/>
    <w:pPr>
      <w:keepLines/>
      <w:keepNext/>
      <w:spacing w:before="200"/>
      <w:outlineLvl w:val="1"/>
    </w:pPr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979">
    <w:name w:val="Заголовок 3"/>
    <w:basedOn w:val="976"/>
    <w:next w:val="979"/>
    <w:link w:val="986"/>
    <w:uiPriority w:val="9"/>
    <w:qFormat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styleId="980">
    <w:name w:val="Основной шрифт абзаца"/>
    <w:next w:val="980"/>
    <w:link w:val="976"/>
    <w:uiPriority w:val="1"/>
    <w:semiHidden/>
    <w:unhideWhenUsed/>
  </w:style>
  <w:style w:type="table" w:styleId="981">
    <w:name w:val="Обычная таблица"/>
    <w:next w:val="981"/>
    <w:link w:val="976"/>
    <w:uiPriority w:val="99"/>
    <w:semiHidden/>
    <w:unhideWhenUsed/>
    <w:qFormat/>
    <w:tblPr/>
  </w:style>
  <w:style w:type="numbering" w:styleId="982">
    <w:name w:val="Нет списка"/>
    <w:next w:val="982"/>
    <w:link w:val="976"/>
    <w:uiPriority w:val="99"/>
    <w:semiHidden/>
    <w:unhideWhenUsed/>
  </w:style>
  <w:style w:type="character" w:styleId="983">
    <w:name w:val="Гиперссылка"/>
    <w:next w:val="983"/>
    <w:link w:val="976"/>
    <w:uiPriority w:val="99"/>
    <w:semiHidden/>
    <w:unhideWhenUsed/>
    <w:rPr>
      <w:color w:val="0000ff"/>
      <w:u w:val="single"/>
    </w:rPr>
  </w:style>
  <w:style w:type="character" w:styleId="984">
    <w:name w:val="Просмотренная гиперссылка"/>
    <w:next w:val="984"/>
    <w:link w:val="976"/>
    <w:uiPriority w:val="99"/>
    <w:semiHidden/>
    <w:unhideWhenUsed/>
    <w:rPr>
      <w:color w:val="800080"/>
      <w:u w:val="single"/>
    </w:rPr>
  </w:style>
  <w:style w:type="character" w:styleId="985">
    <w:name w:val="Заголовок 1 Знак"/>
    <w:next w:val="985"/>
    <w:link w:val="977"/>
    <w:uiPriority w:val="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986">
    <w:name w:val="Заголовок 3 Знак"/>
    <w:next w:val="986"/>
    <w:link w:val="979"/>
    <w:uiPriority w:val="9"/>
    <w:semiHidden/>
    <w:rPr>
      <w:rFonts w:ascii="Cambria" w:hAnsi="Cambria" w:eastAsia="Times New Roman" w:cs="Times New Roman"/>
      <w:b/>
      <w:bCs/>
      <w:color w:val="4f81bd"/>
      <w:sz w:val="24"/>
      <w:szCs w:val="24"/>
    </w:rPr>
  </w:style>
  <w:style w:type="paragraph" w:styleId="987">
    <w:name w:val="Стандартный HTML"/>
    <w:basedOn w:val="976"/>
    <w:next w:val="987"/>
    <w:link w:val="988"/>
    <w:uiPriority w:val="99"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sz w:val="22"/>
      <w:szCs w:val="22"/>
    </w:rPr>
  </w:style>
  <w:style w:type="character" w:styleId="988">
    <w:name w:val="Стандартный HTML Знак"/>
    <w:next w:val="988"/>
    <w:link w:val="987"/>
    <w:uiPriority w:val="99"/>
    <w:rPr>
      <w:rFonts w:ascii="Consolas" w:hAnsi="Consolas" w:eastAsia="Times New Roman"/>
    </w:rPr>
  </w:style>
  <w:style w:type="paragraph" w:styleId="989">
    <w:name w:val="Обычный (веб)"/>
    <w:basedOn w:val="976"/>
    <w:next w:val="989"/>
    <w:link w:val="976"/>
    <w:uiPriority w:val="99"/>
    <w:unhideWhenUsed/>
    <w:pPr>
      <w:spacing w:before="100" w:beforeAutospacing="1" w:after="100" w:afterAutospacing="1"/>
    </w:pPr>
    <w:rPr>
      <w:sz w:val="22"/>
      <w:szCs w:val="22"/>
    </w:rPr>
  </w:style>
  <w:style w:type="paragraph" w:styleId="990">
    <w:name w:val="yrsh"/>
    <w:basedOn w:val="976"/>
    <w:next w:val="990"/>
    <w:link w:val="976"/>
    <w:pPr>
      <w:spacing w:before="100" w:beforeAutospacing="1" w:after="100" w:afterAutospacing="1"/>
      <w:shd w:val="clear" w:color="auto" w:fill="92d050"/>
    </w:pPr>
    <w:rPr>
      <w:sz w:val="22"/>
      <w:szCs w:val="22"/>
    </w:rPr>
  </w:style>
  <w:style w:type="paragraph" w:styleId="991">
    <w:name w:val="tabtitle"/>
    <w:basedOn w:val="976"/>
    <w:next w:val="991"/>
    <w:link w:val="976"/>
    <w:pPr>
      <w:spacing w:before="100" w:beforeAutospacing="1" w:after="100" w:afterAutospacing="1"/>
      <w:shd w:val="clear" w:color="auto" w:fill="28a0c8"/>
    </w:pPr>
    <w:rPr>
      <w:sz w:val="22"/>
      <w:szCs w:val="22"/>
    </w:rPr>
  </w:style>
  <w:style w:type="paragraph" w:styleId="992">
    <w:name w:val="header-listtarget"/>
    <w:basedOn w:val="976"/>
    <w:next w:val="992"/>
    <w:link w:val="976"/>
    <w:pPr>
      <w:spacing w:before="100" w:beforeAutospacing="1" w:after="100" w:afterAutospacing="1"/>
      <w:shd w:val="clear" w:color="auto" w:fill="e66e5a"/>
    </w:pPr>
    <w:rPr>
      <w:sz w:val="22"/>
      <w:szCs w:val="22"/>
    </w:rPr>
  </w:style>
  <w:style w:type="paragraph" w:styleId="993">
    <w:name w:val="bdall"/>
    <w:basedOn w:val="976"/>
    <w:next w:val="993"/>
    <w:link w:val="976"/>
    <w:pPr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sz w:val="22"/>
      <w:szCs w:val="22"/>
    </w:rPr>
  </w:style>
  <w:style w:type="paragraph" w:styleId="994">
    <w:name w:val="bdtop"/>
    <w:basedOn w:val="976"/>
    <w:next w:val="994"/>
    <w:link w:val="976"/>
    <w:pPr>
      <w:spacing w:before="100" w:beforeAutospacing="1" w:after="100" w:afterAutospacing="1"/>
      <w:pBdr>
        <w:top w:val="single" w:color="000000" w:sz="8" w:space="0"/>
      </w:pBdr>
    </w:pPr>
    <w:rPr>
      <w:sz w:val="22"/>
      <w:szCs w:val="22"/>
    </w:rPr>
  </w:style>
  <w:style w:type="paragraph" w:styleId="995">
    <w:name w:val="bdleft"/>
    <w:basedOn w:val="976"/>
    <w:next w:val="995"/>
    <w:link w:val="976"/>
    <w:pPr>
      <w:spacing w:before="100" w:beforeAutospacing="1" w:after="100" w:afterAutospacing="1"/>
      <w:pBdr>
        <w:left w:val="single" w:color="000000" w:sz="8" w:space="0"/>
      </w:pBdr>
    </w:pPr>
    <w:rPr>
      <w:sz w:val="22"/>
      <w:szCs w:val="22"/>
    </w:rPr>
  </w:style>
  <w:style w:type="paragraph" w:styleId="996">
    <w:name w:val="bdright"/>
    <w:basedOn w:val="976"/>
    <w:next w:val="996"/>
    <w:link w:val="976"/>
    <w:pPr>
      <w:spacing w:before="100" w:beforeAutospacing="1" w:after="100" w:afterAutospacing="1"/>
      <w:pBdr>
        <w:right w:val="single" w:color="000000" w:sz="8" w:space="0"/>
      </w:pBdr>
    </w:pPr>
    <w:rPr>
      <w:sz w:val="22"/>
      <w:szCs w:val="22"/>
    </w:rPr>
  </w:style>
  <w:style w:type="paragraph" w:styleId="997">
    <w:name w:val="bdbottom"/>
    <w:basedOn w:val="976"/>
    <w:next w:val="997"/>
    <w:link w:val="976"/>
    <w:pPr>
      <w:spacing w:before="100" w:beforeAutospacing="1" w:after="100" w:afterAutospacing="1"/>
      <w:pBdr>
        <w:bottom w:val="single" w:color="000000" w:sz="8" w:space="0"/>
      </w:pBdr>
    </w:pPr>
    <w:rPr>
      <w:sz w:val="22"/>
      <w:szCs w:val="22"/>
    </w:rPr>
  </w:style>
  <w:style w:type="paragraph" w:styleId="998">
    <w:name w:val="headercell"/>
    <w:basedOn w:val="976"/>
    <w:next w:val="998"/>
    <w:link w:val="976"/>
    <w:pPr>
      <w:spacing w:before="100" w:beforeAutospacing="1" w:after="100" w:afterAutospacing="1"/>
      <w:pBdr>
        <w:bottom w:val="single" w:color="000000" w:sz="6" w:space="0"/>
      </w:pBdr>
    </w:pPr>
    <w:rPr>
      <w:sz w:val="22"/>
      <w:szCs w:val="22"/>
    </w:rPr>
  </w:style>
  <w:style w:type="character" w:styleId="999">
    <w:name w:val="lspace"/>
    <w:next w:val="999"/>
    <w:link w:val="976"/>
    <w:rPr>
      <w:color w:val="ff9900"/>
    </w:rPr>
  </w:style>
  <w:style w:type="character" w:styleId="1000">
    <w:name w:val="small"/>
    <w:next w:val="1000"/>
    <w:link w:val="976"/>
    <w:rPr>
      <w:sz w:val="16"/>
      <w:szCs w:val="16"/>
    </w:rPr>
  </w:style>
  <w:style w:type="character" w:styleId="1001">
    <w:name w:val="fill"/>
    <w:next w:val="1001"/>
    <w:link w:val="976"/>
    <w:rPr>
      <w:b/>
      <w:bCs/>
      <w:i/>
      <w:iCs/>
      <w:color w:val="ff0000"/>
    </w:rPr>
  </w:style>
  <w:style w:type="character" w:styleId="1002">
    <w:name w:val="maggd"/>
    <w:next w:val="1002"/>
    <w:link w:val="976"/>
    <w:rPr>
      <w:color w:val="006400"/>
    </w:rPr>
  </w:style>
  <w:style w:type="character" w:styleId="1003">
    <w:name w:val="magusn"/>
    <w:next w:val="1003"/>
    <w:link w:val="976"/>
    <w:rPr>
      <w:color w:val="006666"/>
    </w:rPr>
  </w:style>
  <w:style w:type="character" w:styleId="1004">
    <w:name w:val="enp"/>
    <w:next w:val="1004"/>
    <w:link w:val="976"/>
    <w:rPr>
      <w:color w:val="3c7828"/>
    </w:rPr>
  </w:style>
  <w:style w:type="character" w:styleId="1005">
    <w:name w:val="kdkss"/>
    <w:next w:val="1005"/>
    <w:link w:val="976"/>
    <w:rPr>
      <w:color w:val="be780a"/>
    </w:rPr>
  </w:style>
  <w:style w:type="character" w:styleId="1006">
    <w:name w:val="actel"/>
    <w:next w:val="1006"/>
    <w:link w:val="976"/>
    <w:rPr>
      <w:color w:val="e36c0a"/>
    </w:rPr>
  </w:style>
  <w:style w:type="character" w:styleId="1007">
    <w:name w:val="Знак примечания"/>
    <w:next w:val="1007"/>
    <w:link w:val="976"/>
    <w:uiPriority w:val="99"/>
    <w:semiHidden/>
    <w:unhideWhenUsed/>
    <w:rPr>
      <w:sz w:val="16"/>
      <w:szCs w:val="16"/>
    </w:rPr>
  </w:style>
  <w:style w:type="paragraph" w:styleId="1008">
    <w:name w:val="Текст примечания"/>
    <w:basedOn w:val="976"/>
    <w:next w:val="1008"/>
    <w:link w:val="1009"/>
    <w:uiPriority w:val="99"/>
    <w:semiHidden/>
    <w:unhideWhenUsed/>
    <w:rPr>
      <w:sz w:val="20"/>
      <w:szCs w:val="20"/>
    </w:rPr>
  </w:style>
  <w:style w:type="character" w:styleId="1009">
    <w:name w:val="Текст примечания Знак"/>
    <w:next w:val="1009"/>
    <w:link w:val="1008"/>
    <w:uiPriority w:val="99"/>
    <w:semiHidden/>
    <w:rPr>
      <w:rFonts w:eastAsia="Times New Roman"/>
    </w:rPr>
  </w:style>
  <w:style w:type="paragraph" w:styleId="1010">
    <w:name w:val="Тема примечания"/>
    <w:basedOn w:val="1008"/>
    <w:next w:val="1008"/>
    <w:link w:val="1011"/>
    <w:uiPriority w:val="99"/>
    <w:semiHidden/>
    <w:unhideWhenUsed/>
    <w:rPr>
      <w:b/>
      <w:bCs/>
    </w:rPr>
  </w:style>
  <w:style w:type="character" w:styleId="1011">
    <w:name w:val="Тема примечания Знак"/>
    <w:next w:val="1011"/>
    <w:link w:val="1010"/>
    <w:uiPriority w:val="99"/>
    <w:semiHidden/>
    <w:rPr>
      <w:rFonts w:eastAsia="Times New Roman"/>
      <w:b/>
      <w:bCs/>
    </w:rPr>
  </w:style>
  <w:style w:type="paragraph" w:styleId="1012">
    <w:name w:val="Текст выноски"/>
    <w:basedOn w:val="976"/>
    <w:next w:val="1012"/>
    <w:link w:val="1013"/>
    <w:uiPriority w:val="99"/>
    <w:semiHidden/>
    <w:unhideWhenUsed/>
    <w:rPr>
      <w:rFonts w:ascii="Tahoma" w:hAnsi="Tahoma" w:cs="Tahoma"/>
      <w:sz w:val="16"/>
      <w:szCs w:val="16"/>
    </w:rPr>
  </w:style>
  <w:style w:type="character" w:styleId="1013">
    <w:name w:val="Текст выноски Знак"/>
    <w:next w:val="1013"/>
    <w:link w:val="1012"/>
    <w:uiPriority w:val="99"/>
    <w:semiHidden/>
    <w:rPr>
      <w:rFonts w:ascii="Tahoma" w:hAnsi="Tahoma" w:eastAsia="Times New Roman" w:cs="Tahoma"/>
      <w:sz w:val="16"/>
      <w:szCs w:val="16"/>
    </w:rPr>
  </w:style>
  <w:style w:type="character" w:styleId="1014">
    <w:name w:val="Заголовок 2 Знак"/>
    <w:next w:val="1014"/>
    <w:link w:val="978"/>
    <w:uiPriority w:val="9"/>
    <w:semiHidden/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1015">
    <w:name w:val="Абзац списка"/>
    <w:basedOn w:val="976"/>
    <w:next w:val="1015"/>
    <w:link w:val="976"/>
    <w:uiPriority w:val="34"/>
    <w:qFormat/>
    <w:pPr>
      <w:contextualSpacing/>
      <w:ind w:left="720"/>
    </w:pPr>
  </w:style>
  <w:style w:type="paragraph" w:styleId="1016">
    <w:name w:val="Верхний колонтитул"/>
    <w:basedOn w:val="976"/>
    <w:next w:val="1016"/>
    <w:link w:val="1017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1017">
    <w:name w:val="Верхний колонтитул Знак"/>
    <w:next w:val="1017"/>
    <w:link w:val="1016"/>
    <w:uiPriority w:val="99"/>
    <w:semiHidden/>
    <w:rPr>
      <w:sz w:val="24"/>
      <w:szCs w:val="24"/>
    </w:rPr>
  </w:style>
  <w:style w:type="paragraph" w:styleId="1018">
    <w:name w:val="Нижний колонтитул"/>
    <w:basedOn w:val="976"/>
    <w:next w:val="1018"/>
    <w:link w:val="101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1019">
    <w:name w:val="Нижний колонтитул Знак"/>
    <w:next w:val="1019"/>
    <w:link w:val="1018"/>
    <w:uiPriority w:val="99"/>
    <w:semiHidden/>
    <w:rPr>
      <w:sz w:val="24"/>
      <w:szCs w:val="24"/>
    </w:rPr>
  </w:style>
  <w:style w:type="character" w:styleId="1020" w:default="1">
    <w:name w:val="Default Paragraph Font"/>
    <w:uiPriority w:val="1"/>
    <w:semiHidden/>
    <w:unhideWhenUsed/>
  </w:style>
  <w:style w:type="numbering" w:styleId="1021" w:default="1">
    <w:name w:val="No List"/>
    <w:uiPriority w:val="99"/>
    <w:semiHidden/>
    <w:unhideWhenUsed/>
  </w:style>
  <w:style w:type="table" w:styleId="102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hyperlink" Target="https://gosfinansy.ru/group?groupId=104424061&amp;locale=ru&amp;date=2025-12-01&amp;isStatic=false&amp;pubAlias=mcfr-g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Положение о внутреннем финансовом контроле и график проведения внутренних проверок финансово-хозяйственной деятельности</dc:title>
  <dc:creator>User</dc:creator>
  <dc:description>Подготовлено на базе материалов БСС «Система Главбух»</dc:description>
  <cp:revision>5</cp:revision>
  <dcterms:created xsi:type="dcterms:W3CDTF">2023-06-21T13:12:00Z</dcterms:created>
  <dcterms:modified xsi:type="dcterms:W3CDTF">2026-03-30T12:39:49Z</dcterms:modified>
  <cp:version>1048576</cp:version>
</cp:coreProperties>
</file>